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D2BA5" w14:textId="77777777" w:rsidR="0044365B" w:rsidRDefault="0044365B" w:rsidP="0044365B">
      <w:pPr>
        <w:jc w:val="right"/>
        <w:rPr>
          <w:rFonts w:ascii="Times New Roman" w:hAnsi="Times New Roman" w:cs="Times New Roman"/>
          <w:b/>
          <w:bCs/>
          <w:lang w:val="uk-UA"/>
        </w:rPr>
      </w:pPr>
      <w:r w:rsidRPr="002626D5">
        <w:rPr>
          <w:rFonts w:ascii="Times New Roman" w:hAnsi="Times New Roman" w:cs="Times New Roman"/>
          <w:b/>
          <w:bCs/>
          <w:lang w:val="uk-UA"/>
        </w:rPr>
        <w:t>Додаток № 3 до тендерної документації</w:t>
      </w:r>
    </w:p>
    <w:p w14:paraId="5E701C86" w14:textId="77777777" w:rsidR="0044365B" w:rsidRPr="002626D5" w:rsidRDefault="0044365B" w:rsidP="0044365B">
      <w:pPr>
        <w:jc w:val="right"/>
        <w:rPr>
          <w:rFonts w:ascii="Times New Roman" w:hAnsi="Times New Roman" w:cs="Times New Roman"/>
          <w:b/>
          <w:bCs/>
          <w:lang w:val="uk-UA"/>
        </w:rPr>
      </w:pPr>
    </w:p>
    <w:p w14:paraId="0E033ABE" w14:textId="77777777" w:rsidR="0044365B" w:rsidRDefault="0044365B" w:rsidP="0044365B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</w:pPr>
      <w:r w:rsidRPr="00502948">
        <w:rPr>
          <w:rFonts w:ascii="Times New Roman" w:hAnsi="Times New Roman" w:cs="Times New Roman"/>
          <w:b/>
          <w:bCs/>
          <w:lang w:val="uk-UA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 xml:space="preserve"> </w:t>
      </w:r>
    </w:p>
    <w:p w14:paraId="3D596D49" w14:textId="77777777" w:rsidR="0044365B" w:rsidRPr="00185CD0" w:rsidRDefault="0044365B" w:rsidP="0044365B">
      <w:pPr>
        <w:jc w:val="both"/>
        <w:rPr>
          <w:rFonts w:ascii="Times New Roman" w:eastAsia="Times New Roman" w:hAnsi="Times New Roman"/>
          <w:lang w:val="uk-UA" w:eastAsia="ru-RU"/>
        </w:rPr>
      </w:pPr>
      <w:r w:rsidRPr="00185CD0">
        <w:rPr>
          <w:rFonts w:ascii="Times New Roman" w:eastAsia="Times New Roman" w:hAnsi="Times New Roman"/>
          <w:lang w:val="uk-UA" w:eastAsia="ru-RU"/>
        </w:rPr>
        <w:t xml:space="preserve">Технічні та якісні характеристики предмету закупівлі повинні відповідати технічним умовам та стандартам, передбаченим законодавством України, діючим на період постачання Товару. </w:t>
      </w:r>
    </w:p>
    <w:p w14:paraId="2AC25F64" w14:textId="77777777" w:rsidR="0044365B" w:rsidRPr="00185CD0" w:rsidRDefault="0044365B" w:rsidP="0044365B">
      <w:pPr>
        <w:pStyle w:val="xfmc1"/>
        <w:spacing w:before="0" w:beforeAutospacing="0" w:after="0" w:afterAutospacing="0"/>
        <w:jc w:val="both"/>
        <w:rPr>
          <w:rFonts w:eastAsia="Times New Roman"/>
          <w:lang w:eastAsia="ru-RU"/>
        </w:rPr>
      </w:pPr>
      <w:r w:rsidRPr="00185CD0">
        <w:rPr>
          <w:rFonts w:eastAsia="Times New Roman"/>
          <w:lang w:eastAsia="ru-RU"/>
        </w:rPr>
        <w:t xml:space="preserve">Учасник повинен забезпечувати дотримання загальних та гарантованих стандартів якості постачання електричної енергії, в тому числі, що передбачені згідно Порядку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375, Закону України «Про ринок електричної енергії», Правил роздрібного ринку електричної енергії, інших нормативно-правових актів. </w:t>
      </w:r>
    </w:p>
    <w:p w14:paraId="04DF8FE8" w14:textId="77777777" w:rsidR="0044365B" w:rsidRPr="00185CD0" w:rsidRDefault="0044365B" w:rsidP="0044365B">
      <w:pPr>
        <w:pStyle w:val="a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5CD0">
        <w:rPr>
          <w:rFonts w:ascii="Times New Roman" w:eastAsia="Times New Roman" w:hAnsi="Times New Roman"/>
          <w:sz w:val="24"/>
          <w:szCs w:val="24"/>
          <w:lang w:eastAsia="ru-RU"/>
        </w:rPr>
        <w:t xml:space="preserve">Взаємовідносини між </w:t>
      </w:r>
      <w:proofErr w:type="spellStart"/>
      <w:r w:rsidRPr="00185CD0">
        <w:rPr>
          <w:rFonts w:ascii="Times New Roman" w:eastAsia="Times New Roman" w:hAnsi="Times New Roman"/>
          <w:sz w:val="24"/>
          <w:szCs w:val="24"/>
          <w:lang w:eastAsia="ru-RU"/>
        </w:rPr>
        <w:t>електропостачальниками</w:t>
      </w:r>
      <w:proofErr w:type="spellEnd"/>
      <w:r w:rsidRPr="00185CD0">
        <w:rPr>
          <w:rFonts w:ascii="Times New Roman" w:eastAsia="Times New Roman" w:hAnsi="Times New Roman"/>
          <w:sz w:val="24"/>
          <w:szCs w:val="24"/>
          <w:lang w:eastAsia="ru-RU"/>
        </w:rPr>
        <w:t xml:space="preserve"> та споживачами електричної енергії регулюються наступними документами: Законом України «Про ринок електричної енергії» № 2019-VIII від 13.04.2017; Правилами роздрібного ринку електричної енергії, затверджених постановою НКРЕКП від 14.03.2018 року № 312; Кодексом систем передачі, затвердженого постановою НКРЕКП від 14.03.2018 року № 309; Кодексом систем розподілу, затвердженого постановою НКРЕКП від 14.03.2018 року № 310; Кодексом комерційного обліку електричної енергії, затвердженого постановою НКРЕКП від 14.03.2018 року № 311.</w:t>
      </w:r>
    </w:p>
    <w:p w14:paraId="0FA071A7" w14:textId="77777777" w:rsidR="0044365B" w:rsidRPr="00185CD0" w:rsidRDefault="0044365B" w:rsidP="0044365B">
      <w:pPr>
        <w:pStyle w:val="a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34DA41" w14:textId="77777777" w:rsidR="0044365B" w:rsidRPr="00185CD0" w:rsidRDefault="0044365B" w:rsidP="0044365B">
      <w:pPr>
        <w:pStyle w:val="a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5CD0">
        <w:rPr>
          <w:rFonts w:ascii="Times New Roman" w:eastAsia="Times New Roman" w:hAnsi="Times New Roman"/>
          <w:sz w:val="24"/>
          <w:szCs w:val="24"/>
          <w:lang w:eastAsia="ru-RU"/>
        </w:rPr>
        <w:t xml:space="preserve">Параметри якості електроенергії в точках приєднання споживачів в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загальної </w:t>
      </w:r>
      <w:proofErr w:type="spellStart"/>
      <w:r w:rsidRPr="00185CD0">
        <w:rPr>
          <w:rFonts w:ascii="Times New Roman" w:eastAsia="Times New Roman" w:hAnsi="Times New Roman"/>
          <w:sz w:val="24"/>
          <w:szCs w:val="24"/>
          <w:lang w:eastAsia="ru-RU"/>
        </w:rPr>
        <w:t>призначеності</w:t>
      </w:r>
      <w:proofErr w:type="spellEnd"/>
      <w:r w:rsidRPr="00185CD0">
        <w:rPr>
          <w:rFonts w:ascii="Times New Roman" w:eastAsia="Times New Roman" w:hAnsi="Times New Roman"/>
          <w:sz w:val="24"/>
          <w:szCs w:val="24"/>
          <w:lang w:eastAsia="ru-RU"/>
        </w:rPr>
        <w:t>» (далі – ДСТУ EN 50160:2014);</w:t>
      </w:r>
    </w:p>
    <w:p w14:paraId="1BA5A723" w14:textId="77777777" w:rsidR="0044365B" w:rsidRPr="00185CD0" w:rsidRDefault="0044365B" w:rsidP="0044365B">
      <w:pPr>
        <w:pStyle w:val="a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09B40B" w14:textId="77777777" w:rsidR="0044365B" w:rsidRPr="00185CD0" w:rsidRDefault="0044365B" w:rsidP="0044365B">
      <w:pPr>
        <w:pStyle w:val="a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85CD0">
        <w:rPr>
          <w:rFonts w:ascii="Times New Roman" w:eastAsia="Times New Roman" w:hAnsi="Times New Roman"/>
          <w:sz w:val="24"/>
          <w:szCs w:val="24"/>
          <w:lang w:eastAsia="ru-RU"/>
        </w:rPr>
        <w:t>Технічні, якісні характеристики товару за предметом закупівлі повинні відповідати встановленим / зареєстрованим чинним нормативним актам чинного законодавства (державним стандартам, технічним умовам)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2155"/>
        <w:gridCol w:w="1496"/>
        <w:gridCol w:w="1830"/>
        <w:gridCol w:w="1737"/>
      </w:tblGrid>
      <w:tr w:rsidR="0044365B" w:rsidRPr="00185CD0" w14:paraId="35B58740" w14:textId="77777777" w:rsidTr="00D271D5">
        <w:trPr>
          <w:trHeight w:val="860"/>
        </w:trPr>
        <w:tc>
          <w:tcPr>
            <w:tcW w:w="2132" w:type="dxa"/>
            <w:vAlign w:val="center"/>
          </w:tcPr>
          <w:p w14:paraId="79E14DFF" w14:textId="77777777" w:rsidR="0044365B" w:rsidRPr="00185CD0" w:rsidRDefault="0044365B" w:rsidP="00D271D5">
            <w:pPr>
              <w:pStyle w:val="tj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Cs/>
                <w:lang w:val="uk-UA"/>
              </w:rPr>
            </w:pPr>
            <w:r w:rsidRPr="00185CD0">
              <w:rPr>
                <w:b/>
                <w:iCs/>
                <w:lang w:val="uk-UA"/>
              </w:rPr>
              <w:t xml:space="preserve">Місце постачання назва та адреса об’єкту </w:t>
            </w:r>
          </w:p>
        </w:tc>
        <w:tc>
          <w:tcPr>
            <w:tcW w:w="2155" w:type="dxa"/>
            <w:vAlign w:val="center"/>
          </w:tcPr>
          <w:p w14:paraId="537A2366" w14:textId="7CE19C72" w:rsidR="0044365B" w:rsidRPr="00185CD0" w:rsidRDefault="00382652" w:rsidP="00D271D5">
            <w:pPr>
              <w:pStyle w:val="tj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Cs/>
                <w:lang w:val="uk-UA"/>
              </w:rPr>
            </w:pPr>
            <w:r>
              <w:rPr>
                <w:b/>
                <w:lang w:val="uk-UA"/>
              </w:rPr>
              <w:t>Кількість/обсяг</w:t>
            </w:r>
          </w:p>
        </w:tc>
        <w:tc>
          <w:tcPr>
            <w:tcW w:w="1496" w:type="dxa"/>
            <w:vAlign w:val="center"/>
          </w:tcPr>
          <w:p w14:paraId="0FACF253" w14:textId="77777777" w:rsidR="0044365B" w:rsidRPr="00185CD0" w:rsidRDefault="0044365B" w:rsidP="00D271D5">
            <w:pPr>
              <w:pStyle w:val="tj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Cs/>
                <w:lang w:val="uk-UA"/>
              </w:rPr>
            </w:pPr>
            <w:r w:rsidRPr="00185CD0">
              <w:rPr>
                <w:b/>
                <w:iCs/>
                <w:lang w:val="uk-UA"/>
              </w:rPr>
              <w:t>Графік постачання</w:t>
            </w:r>
          </w:p>
        </w:tc>
        <w:tc>
          <w:tcPr>
            <w:tcW w:w="1830" w:type="dxa"/>
            <w:vAlign w:val="center"/>
          </w:tcPr>
          <w:p w14:paraId="78D90DB3" w14:textId="77777777" w:rsidR="0044365B" w:rsidRPr="00185CD0" w:rsidRDefault="0044365B" w:rsidP="00D271D5">
            <w:pPr>
              <w:pStyle w:val="tj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Cs/>
                <w:lang w:val="uk-UA"/>
              </w:rPr>
            </w:pPr>
            <w:r w:rsidRPr="00185CD0">
              <w:rPr>
                <w:b/>
                <w:iCs/>
                <w:lang w:val="uk-UA"/>
              </w:rPr>
              <w:t>Категорія площадки виміру споживача</w:t>
            </w:r>
          </w:p>
        </w:tc>
        <w:tc>
          <w:tcPr>
            <w:tcW w:w="1737" w:type="dxa"/>
            <w:vAlign w:val="center"/>
          </w:tcPr>
          <w:p w14:paraId="39EF8B08" w14:textId="77777777" w:rsidR="0044365B" w:rsidRPr="00185CD0" w:rsidRDefault="0044365B" w:rsidP="00D271D5">
            <w:pPr>
              <w:pStyle w:val="tj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Cs/>
                <w:lang w:val="uk-UA"/>
              </w:rPr>
            </w:pPr>
            <w:r w:rsidRPr="00185CD0">
              <w:rPr>
                <w:b/>
                <w:iCs/>
                <w:lang w:val="uk-UA"/>
              </w:rPr>
              <w:t>Клас напруги споживача</w:t>
            </w:r>
          </w:p>
        </w:tc>
      </w:tr>
      <w:tr w:rsidR="0044365B" w:rsidRPr="00185CD0" w14:paraId="26C80DC4" w14:textId="77777777" w:rsidTr="00D271D5">
        <w:trPr>
          <w:trHeight w:val="1473"/>
        </w:trPr>
        <w:tc>
          <w:tcPr>
            <w:tcW w:w="2132" w:type="dxa"/>
            <w:vAlign w:val="center"/>
          </w:tcPr>
          <w:p w14:paraId="744E752F" w14:textId="77777777" w:rsidR="00E10DB0" w:rsidRDefault="00E10DB0" w:rsidP="00D271D5">
            <w:pPr>
              <w:pStyle w:val="tj"/>
              <w:tabs>
                <w:tab w:val="left" w:pos="709"/>
              </w:tabs>
              <w:spacing w:before="0" w:beforeAutospacing="0" w:after="0" w:afterAutospacing="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25030, </w:t>
            </w:r>
          </w:p>
          <w:p w14:paraId="101277D2" w14:textId="7CCA3489" w:rsidR="0044365B" w:rsidRPr="00185CD0" w:rsidRDefault="00E10DB0" w:rsidP="00D271D5">
            <w:pPr>
              <w:pStyle w:val="tj"/>
              <w:tabs>
                <w:tab w:val="left" w:pos="709"/>
              </w:tabs>
              <w:spacing w:before="0" w:beforeAutospacing="0" w:after="0" w:afterAutospacing="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м. Кропивницький, вул. Вокзальна, 58</w:t>
            </w:r>
          </w:p>
        </w:tc>
        <w:tc>
          <w:tcPr>
            <w:tcW w:w="2155" w:type="dxa"/>
            <w:vAlign w:val="center"/>
          </w:tcPr>
          <w:p w14:paraId="2F8B7766" w14:textId="77777777" w:rsidR="0044365B" w:rsidRPr="00185CD0" w:rsidRDefault="0044365B" w:rsidP="00D271D5">
            <w:pPr>
              <w:rPr>
                <w:rFonts w:eastAsia="Times New Roman"/>
                <w:iCs/>
                <w:lang w:val="uk-UA"/>
              </w:rPr>
            </w:pPr>
          </w:p>
          <w:p w14:paraId="41D01057" w14:textId="77777777" w:rsidR="00382652" w:rsidRDefault="00382652" w:rsidP="00D271D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69 тис.</w:t>
            </w:r>
          </w:p>
          <w:p w14:paraId="1470622B" w14:textId="21652F30" w:rsidR="0044365B" w:rsidRPr="00185CD0" w:rsidRDefault="00382652" w:rsidP="00D271D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 кВт*год</w:t>
            </w:r>
          </w:p>
        </w:tc>
        <w:tc>
          <w:tcPr>
            <w:tcW w:w="1496" w:type="dxa"/>
            <w:vAlign w:val="center"/>
          </w:tcPr>
          <w:p w14:paraId="3672C47E" w14:textId="03185D51" w:rsidR="0044365B" w:rsidRPr="00185CD0" w:rsidRDefault="0044365B" w:rsidP="00D271D5">
            <w:pPr>
              <w:jc w:val="center"/>
              <w:rPr>
                <w:rFonts w:ascii="Times New Roman" w:hAnsi="Times New Roman"/>
                <w:iCs/>
                <w:lang w:val="uk-UA"/>
              </w:rPr>
            </w:pPr>
            <w:r w:rsidRPr="00185CD0">
              <w:rPr>
                <w:rFonts w:ascii="Times New Roman" w:eastAsia="Times New Roman" w:hAnsi="Times New Roman"/>
                <w:iCs/>
                <w:lang w:val="uk-UA"/>
              </w:rPr>
              <w:t>цілодобово, протягом 202</w:t>
            </w:r>
            <w:r w:rsidR="00E10DB0">
              <w:rPr>
                <w:rFonts w:ascii="Times New Roman" w:eastAsia="Times New Roman" w:hAnsi="Times New Roman"/>
                <w:iCs/>
                <w:lang w:val="uk-UA"/>
              </w:rPr>
              <w:t>3</w:t>
            </w:r>
            <w:r w:rsidRPr="00185CD0">
              <w:rPr>
                <w:rFonts w:ascii="Times New Roman" w:eastAsia="Times New Roman" w:hAnsi="Times New Roman"/>
                <w:iCs/>
                <w:lang w:val="uk-UA"/>
              </w:rPr>
              <w:t xml:space="preserve"> року</w:t>
            </w:r>
          </w:p>
        </w:tc>
        <w:tc>
          <w:tcPr>
            <w:tcW w:w="1830" w:type="dxa"/>
            <w:vAlign w:val="center"/>
          </w:tcPr>
          <w:p w14:paraId="6BE8EA71" w14:textId="77777777" w:rsidR="0044365B" w:rsidRPr="00185CD0" w:rsidRDefault="0044365B" w:rsidP="00D271D5">
            <w:pPr>
              <w:jc w:val="center"/>
              <w:rPr>
                <w:rFonts w:ascii="Times New Roman" w:hAnsi="Times New Roman"/>
                <w:iCs/>
                <w:lang w:val="uk-UA"/>
              </w:rPr>
            </w:pPr>
            <w:r w:rsidRPr="00185CD0">
              <w:rPr>
                <w:rFonts w:ascii="Times New Roman" w:eastAsia="Times New Roman" w:hAnsi="Times New Roman"/>
                <w:iCs/>
                <w:lang w:val="uk-UA"/>
              </w:rPr>
              <w:t>група «В»</w:t>
            </w:r>
          </w:p>
        </w:tc>
        <w:tc>
          <w:tcPr>
            <w:tcW w:w="1737" w:type="dxa"/>
            <w:vAlign w:val="center"/>
          </w:tcPr>
          <w:p w14:paraId="6176D4A1" w14:textId="77777777" w:rsidR="0044365B" w:rsidRPr="00185CD0" w:rsidRDefault="0044365B" w:rsidP="00D271D5">
            <w:pPr>
              <w:pStyle w:val="tj"/>
              <w:tabs>
                <w:tab w:val="left" w:pos="709"/>
              </w:tabs>
              <w:spacing w:before="0" w:beforeAutospacing="0" w:after="0" w:afterAutospacing="0"/>
              <w:jc w:val="center"/>
              <w:rPr>
                <w:iCs/>
                <w:lang w:val="uk-UA"/>
              </w:rPr>
            </w:pPr>
            <w:r w:rsidRPr="00185CD0">
              <w:rPr>
                <w:iCs/>
                <w:lang w:val="uk-UA"/>
              </w:rPr>
              <w:t>2 (друга)</w:t>
            </w:r>
          </w:p>
        </w:tc>
      </w:tr>
    </w:tbl>
    <w:p w14:paraId="10F4764F" w14:textId="191EDB68" w:rsidR="0044365B" w:rsidRPr="00185CD0" w:rsidRDefault="0044365B" w:rsidP="0044365B">
      <w:pPr>
        <w:jc w:val="both"/>
        <w:rPr>
          <w:rFonts w:ascii="Times New Roman" w:eastAsia="Times New Roman" w:hAnsi="Times New Roman"/>
          <w:i/>
          <w:iCs/>
          <w:lang w:val="uk-UA"/>
        </w:rPr>
      </w:pPr>
      <w:r w:rsidRPr="00185CD0">
        <w:rPr>
          <w:rFonts w:ascii="Times New Roman" w:eastAsia="Times New Roman" w:hAnsi="Times New Roman"/>
          <w:lang w:val="uk-UA"/>
        </w:rPr>
        <w:t xml:space="preserve">Найменування оператора системи розподілу (ОСР): </w:t>
      </w:r>
      <w:r w:rsidR="00E10DB0">
        <w:rPr>
          <w:rFonts w:ascii="Times New Roman" w:eastAsia="Times New Roman" w:hAnsi="Times New Roman"/>
          <w:lang w:val="uk-UA"/>
        </w:rPr>
        <w:t>ПАТ «</w:t>
      </w:r>
      <w:proofErr w:type="spellStart"/>
      <w:r w:rsidR="00E10DB0">
        <w:rPr>
          <w:rFonts w:ascii="Times New Roman" w:eastAsia="Times New Roman" w:hAnsi="Times New Roman"/>
          <w:lang w:val="uk-UA"/>
        </w:rPr>
        <w:t>Кіровоградобленерго</w:t>
      </w:r>
      <w:proofErr w:type="spellEnd"/>
      <w:r w:rsidR="00E10DB0">
        <w:rPr>
          <w:rFonts w:ascii="Times New Roman" w:eastAsia="Times New Roman" w:hAnsi="Times New Roman"/>
          <w:lang w:val="uk-UA"/>
        </w:rPr>
        <w:t>»</w:t>
      </w:r>
      <w:r w:rsidRPr="00185CD0">
        <w:rPr>
          <w:rFonts w:ascii="Times New Roman" w:eastAsia="Times New Roman" w:hAnsi="Times New Roman"/>
          <w:i/>
          <w:iCs/>
          <w:lang w:val="uk-UA"/>
        </w:rPr>
        <w:t>, до мереж якого приєднані об’єкти (електроустановки) замовник, якщо об’єкти приєднанні до різних операторів системи розподілу необхідно вказати інформацію щодо кожного ОСР).</w:t>
      </w:r>
    </w:p>
    <w:p w14:paraId="0D6B5D04" w14:textId="77777777" w:rsidR="0044365B" w:rsidRPr="00185CD0" w:rsidRDefault="0044365B" w:rsidP="0044365B">
      <w:pPr>
        <w:jc w:val="both"/>
        <w:rPr>
          <w:rFonts w:ascii="Times New Roman" w:eastAsia="Times New Roman" w:hAnsi="Times New Roman"/>
          <w:lang w:val="uk-UA" w:eastAsia="ru-RU"/>
        </w:rPr>
      </w:pPr>
    </w:p>
    <w:p w14:paraId="5A95BE2D" w14:textId="660FB384" w:rsidR="008E3834" w:rsidRPr="00594377" w:rsidRDefault="0044365B" w:rsidP="00382652">
      <w:pPr>
        <w:jc w:val="both"/>
        <w:rPr>
          <w:rFonts w:ascii="Times New Roman" w:hAnsi="Times New Roman" w:cs="Times New Roman"/>
          <w:lang w:val="uk-UA"/>
        </w:rPr>
      </w:pPr>
      <w:r w:rsidRPr="00185CD0">
        <w:rPr>
          <w:rFonts w:ascii="Times New Roman" w:eastAsia="Times New Roman" w:hAnsi="Times New Roman"/>
          <w:lang w:val="uk-UA" w:eastAsia="ru-RU"/>
        </w:rPr>
        <w:t xml:space="preserve">На дату розгляду </w:t>
      </w:r>
      <w:r>
        <w:rPr>
          <w:rFonts w:ascii="Times New Roman" w:eastAsia="Times New Roman" w:hAnsi="Times New Roman"/>
          <w:lang w:val="uk-UA" w:eastAsia="ru-RU"/>
        </w:rPr>
        <w:t xml:space="preserve">тендерних </w:t>
      </w:r>
      <w:r w:rsidRPr="00185CD0">
        <w:rPr>
          <w:rFonts w:ascii="Times New Roman" w:eastAsia="Times New Roman" w:hAnsi="Times New Roman"/>
          <w:lang w:val="uk-UA" w:eastAsia="ru-RU"/>
        </w:rPr>
        <w:t xml:space="preserve">пропозицій учасник </w:t>
      </w:r>
      <w:r>
        <w:rPr>
          <w:rFonts w:ascii="Times New Roman" w:eastAsia="Times New Roman" w:hAnsi="Times New Roman"/>
          <w:lang w:val="uk-UA" w:eastAsia="ru-RU"/>
        </w:rPr>
        <w:t xml:space="preserve">процедури закупівлі </w:t>
      </w:r>
      <w:r w:rsidRPr="00185CD0">
        <w:rPr>
          <w:rFonts w:ascii="Times New Roman" w:eastAsia="Times New Roman" w:hAnsi="Times New Roman"/>
          <w:lang w:val="uk-UA" w:eastAsia="ru-RU"/>
        </w:rPr>
        <w:t>немає перебувати в статусі «</w:t>
      </w:r>
      <w:proofErr w:type="spellStart"/>
      <w:r w:rsidRPr="00185CD0">
        <w:rPr>
          <w:rFonts w:ascii="Times New Roman" w:eastAsia="Times New Roman" w:hAnsi="Times New Roman"/>
          <w:lang w:val="uk-UA" w:eastAsia="ru-RU"/>
        </w:rPr>
        <w:t>Дефолтний</w:t>
      </w:r>
      <w:proofErr w:type="spellEnd"/>
      <w:r w:rsidRPr="00185CD0">
        <w:rPr>
          <w:rFonts w:ascii="Times New Roman" w:eastAsia="Times New Roman" w:hAnsi="Times New Roman"/>
          <w:lang w:val="uk-UA" w:eastAsia="ru-RU"/>
        </w:rPr>
        <w:t xml:space="preserve">». Замовник самостійно перевіряє інформацію </w:t>
      </w:r>
      <w:r>
        <w:rPr>
          <w:rFonts w:ascii="Times New Roman" w:eastAsia="Times New Roman" w:hAnsi="Times New Roman"/>
          <w:lang w:val="uk-UA" w:eastAsia="ru-RU"/>
        </w:rPr>
        <w:t>щодо перебування учасника</w:t>
      </w:r>
      <w:r w:rsidRPr="00185CD0">
        <w:rPr>
          <w:rFonts w:ascii="Times New Roman" w:eastAsia="Times New Roman" w:hAnsi="Times New Roman"/>
          <w:lang w:val="uk-UA" w:eastAsia="ru-RU"/>
        </w:rPr>
        <w:t xml:space="preserve"> у статус</w:t>
      </w:r>
      <w:r>
        <w:rPr>
          <w:rFonts w:ascii="Times New Roman" w:eastAsia="Times New Roman" w:hAnsi="Times New Roman"/>
          <w:lang w:val="uk-UA" w:eastAsia="ru-RU"/>
        </w:rPr>
        <w:t>і</w:t>
      </w:r>
      <w:r w:rsidRPr="00185CD0">
        <w:rPr>
          <w:rFonts w:ascii="Times New Roman" w:eastAsia="Times New Roman" w:hAnsi="Times New Roman"/>
          <w:lang w:val="uk-UA" w:eastAsia="ru-RU"/>
        </w:rPr>
        <w:t xml:space="preserve"> «</w:t>
      </w:r>
      <w:proofErr w:type="spellStart"/>
      <w:r w:rsidRPr="00185CD0">
        <w:rPr>
          <w:rFonts w:ascii="Times New Roman" w:eastAsia="Times New Roman" w:hAnsi="Times New Roman"/>
          <w:lang w:val="uk-UA" w:eastAsia="ru-RU"/>
        </w:rPr>
        <w:t>Дефолтний</w:t>
      </w:r>
      <w:proofErr w:type="spellEnd"/>
      <w:r w:rsidRPr="00185CD0">
        <w:rPr>
          <w:rFonts w:ascii="Times New Roman" w:eastAsia="Times New Roman" w:hAnsi="Times New Roman"/>
          <w:lang w:val="uk-UA" w:eastAsia="ru-RU"/>
        </w:rPr>
        <w:t>» та не перебуває в списках учасників ринку, що набули статусу «</w:t>
      </w:r>
      <w:proofErr w:type="spellStart"/>
      <w:r w:rsidRPr="00185CD0">
        <w:rPr>
          <w:rFonts w:ascii="Times New Roman" w:eastAsia="Times New Roman" w:hAnsi="Times New Roman"/>
          <w:lang w:val="uk-UA" w:eastAsia="ru-RU"/>
        </w:rPr>
        <w:t>Дефолтний</w:t>
      </w:r>
      <w:proofErr w:type="spellEnd"/>
      <w:r w:rsidRPr="00185CD0">
        <w:rPr>
          <w:rFonts w:ascii="Times New Roman" w:eastAsia="Times New Roman" w:hAnsi="Times New Roman"/>
          <w:lang w:val="uk-UA" w:eastAsia="ru-RU"/>
        </w:rPr>
        <w:t xml:space="preserve">», який оприлюднений на сайті оператора системи передачі, як адміністратора розрахунків – НЕК «Укренерго». У разі перебування </w:t>
      </w:r>
      <w:r>
        <w:rPr>
          <w:rFonts w:ascii="Times New Roman" w:eastAsia="Times New Roman" w:hAnsi="Times New Roman"/>
          <w:lang w:val="uk-UA" w:eastAsia="ru-RU"/>
        </w:rPr>
        <w:t>у</w:t>
      </w:r>
      <w:r w:rsidRPr="00185CD0">
        <w:rPr>
          <w:rFonts w:ascii="Times New Roman" w:eastAsia="Times New Roman" w:hAnsi="Times New Roman"/>
          <w:lang w:val="uk-UA" w:eastAsia="ru-RU"/>
        </w:rPr>
        <w:t>часника у списках учасників ринку, які набули статусу «</w:t>
      </w:r>
      <w:proofErr w:type="spellStart"/>
      <w:r w:rsidRPr="00185CD0">
        <w:rPr>
          <w:rFonts w:ascii="Times New Roman" w:eastAsia="Times New Roman" w:hAnsi="Times New Roman"/>
          <w:lang w:val="uk-UA" w:eastAsia="ru-RU"/>
        </w:rPr>
        <w:t>Дефолтний</w:t>
      </w:r>
      <w:proofErr w:type="spellEnd"/>
      <w:r w:rsidRPr="00185CD0">
        <w:rPr>
          <w:rFonts w:ascii="Times New Roman" w:eastAsia="Times New Roman" w:hAnsi="Times New Roman"/>
          <w:lang w:val="uk-UA" w:eastAsia="ru-RU"/>
        </w:rPr>
        <w:t xml:space="preserve">» </w:t>
      </w:r>
      <w:r w:rsidRPr="00185CD0">
        <w:rPr>
          <w:rFonts w:ascii="Times New Roman" w:eastAsia="Times New Roman" w:hAnsi="Times New Roman"/>
          <w:lang w:val="uk-UA"/>
        </w:rPr>
        <w:t>такий учасник буде вважаєт</w:t>
      </w:r>
      <w:r>
        <w:rPr>
          <w:rFonts w:ascii="Times New Roman" w:eastAsia="Times New Roman" w:hAnsi="Times New Roman"/>
          <w:lang w:val="uk-UA"/>
        </w:rPr>
        <w:t>ь</w:t>
      </w:r>
      <w:r w:rsidRPr="00185CD0">
        <w:rPr>
          <w:rFonts w:ascii="Times New Roman" w:eastAsia="Times New Roman" w:hAnsi="Times New Roman"/>
          <w:lang w:val="uk-UA"/>
        </w:rPr>
        <w:t xml:space="preserve">ся таким, </w:t>
      </w:r>
      <w:r>
        <w:rPr>
          <w:rFonts w:ascii="Times New Roman" w:eastAsia="Times New Roman" w:hAnsi="Times New Roman"/>
          <w:lang w:val="uk-UA"/>
        </w:rPr>
        <w:t xml:space="preserve">що </w:t>
      </w:r>
      <w:r w:rsidRPr="00185CD0">
        <w:rPr>
          <w:rFonts w:ascii="Times New Roman" w:eastAsia="Times New Roman" w:hAnsi="Times New Roman"/>
          <w:lang w:val="uk-UA"/>
        </w:rPr>
        <w:t>не відповідає встановленим абзацом першим частини третьої статті 22 цього Закону вимогам до учасника відповідно до законодавства</w:t>
      </w:r>
      <w:r>
        <w:rPr>
          <w:rFonts w:ascii="Times New Roman" w:eastAsia="Times New Roman" w:hAnsi="Times New Roman"/>
          <w:lang w:val="uk-UA"/>
        </w:rPr>
        <w:t xml:space="preserve"> та відхиляється замовником на підставі абзацу 3 пункту 1 частини 1 статті 31 Закону.</w:t>
      </w:r>
      <w:bookmarkStart w:id="0" w:name="_GoBack"/>
      <w:bookmarkEnd w:id="0"/>
    </w:p>
    <w:sectPr w:rsidR="008E3834" w:rsidRPr="00594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A6A08"/>
    <w:multiLevelType w:val="hybridMultilevel"/>
    <w:tmpl w:val="108C3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25F6"/>
    <w:multiLevelType w:val="hybridMultilevel"/>
    <w:tmpl w:val="2DDEFF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3D16"/>
    <w:multiLevelType w:val="hybridMultilevel"/>
    <w:tmpl w:val="806C1A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2EE4"/>
    <w:multiLevelType w:val="hybridMultilevel"/>
    <w:tmpl w:val="469E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E7704"/>
    <w:multiLevelType w:val="hybridMultilevel"/>
    <w:tmpl w:val="5718A6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944E2"/>
    <w:multiLevelType w:val="hybridMultilevel"/>
    <w:tmpl w:val="312CCA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14C0"/>
    <w:multiLevelType w:val="hybridMultilevel"/>
    <w:tmpl w:val="96E8AB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F0171"/>
    <w:multiLevelType w:val="hybridMultilevel"/>
    <w:tmpl w:val="EDB6F3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A46C5"/>
    <w:multiLevelType w:val="hybridMultilevel"/>
    <w:tmpl w:val="52C49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667C6"/>
    <w:multiLevelType w:val="hybridMultilevel"/>
    <w:tmpl w:val="CEE4A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C754F"/>
    <w:multiLevelType w:val="hybridMultilevel"/>
    <w:tmpl w:val="57DC2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15B93"/>
    <w:multiLevelType w:val="hybridMultilevel"/>
    <w:tmpl w:val="A90E1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53826"/>
    <w:multiLevelType w:val="hybridMultilevel"/>
    <w:tmpl w:val="838040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82335"/>
    <w:multiLevelType w:val="hybridMultilevel"/>
    <w:tmpl w:val="A51A60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D3850"/>
    <w:multiLevelType w:val="hybridMultilevel"/>
    <w:tmpl w:val="3C169A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15D94"/>
    <w:multiLevelType w:val="hybridMultilevel"/>
    <w:tmpl w:val="8166B3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84772"/>
    <w:multiLevelType w:val="hybridMultilevel"/>
    <w:tmpl w:val="308E2C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6A47"/>
    <w:multiLevelType w:val="hybridMultilevel"/>
    <w:tmpl w:val="12221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475A7"/>
    <w:multiLevelType w:val="hybridMultilevel"/>
    <w:tmpl w:val="D1786F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21A29"/>
    <w:multiLevelType w:val="hybridMultilevel"/>
    <w:tmpl w:val="797CF1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A653A"/>
    <w:multiLevelType w:val="hybridMultilevel"/>
    <w:tmpl w:val="45C025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30BC2"/>
    <w:multiLevelType w:val="hybridMultilevel"/>
    <w:tmpl w:val="9BFA3B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979C1"/>
    <w:multiLevelType w:val="hybridMultilevel"/>
    <w:tmpl w:val="60A622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A3567"/>
    <w:multiLevelType w:val="hybridMultilevel"/>
    <w:tmpl w:val="D8C24D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C2225"/>
    <w:multiLevelType w:val="hybridMultilevel"/>
    <w:tmpl w:val="D848EE0A"/>
    <w:lvl w:ilvl="0" w:tplc="D12C465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B71CD5"/>
    <w:multiLevelType w:val="hybridMultilevel"/>
    <w:tmpl w:val="8F089B42"/>
    <w:lvl w:ilvl="0" w:tplc="43E05AC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DA2496"/>
    <w:multiLevelType w:val="hybridMultilevel"/>
    <w:tmpl w:val="A1BC16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9589B"/>
    <w:multiLevelType w:val="hybridMultilevel"/>
    <w:tmpl w:val="935EE610"/>
    <w:lvl w:ilvl="0" w:tplc="0634743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7F2CC0"/>
    <w:multiLevelType w:val="hybridMultilevel"/>
    <w:tmpl w:val="F10CF9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57487"/>
    <w:multiLevelType w:val="hybridMultilevel"/>
    <w:tmpl w:val="64381A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5075D"/>
    <w:multiLevelType w:val="hybridMultilevel"/>
    <w:tmpl w:val="40EC2B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75F71"/>
    <w:multiLevelType w:val="hybridMultilevel"/>
    <w:tmpl w:val="99D882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5"/>
  </w:num>
  <w:num w:numId="4">
    <w:abstractNumId w:val="0"/>
  </w:num>
  <w:num w:numId="5">
    <w:abstractNumId w:val="19"/>
  </w:num>
  <w:num w:numId="6">
    <w:abstractNumId w:val="29"/>
  </w:num>
  <w:num w:numId="7">
    <w:abstractNumId w:val="13"/>
  </w:num>
  <w:num w:numId="8">
    <w:abstractNumId w:val="30"/>
  </w:num>
  <w:num w:numId="9">
    <w:abstractNumId w:val="21"/>
  </w:num>
  <w:num w:numId="10">
    <w:abstractNumId w:val="31"/>
  </w:num>
  <w:num w:numId="11">
    <w:abstractNumId w:val="20"/>
  </w:num>
  <w:num w:numId="12">
    <w:abstractNumId w:val="11"/>
  </w:num>
  <w:num w:numId="13">
    <w:abstractNumId w:val="26"/>
  </w:num>
  <w:num w:numId="14">
    <w:abstractNumId w:val="9"/>
  </w:num>
  <w:num w:numId="15">
    <w:abstractNumId w:val="4"/>
  </w:num>
  <w:num w:numId="16">
    <w:abstractNumId w:val="14"/>
  </w:num>
  <w:num w:numId="17">
    <w:abstractNumId w:val="10"/>
  </w:num>
  <w:num w:numId="18">
    <w:abstractNumId w:val="18"/>
  </w:num>
  <w:num w:numId="19">
    <w:abstractNumId w:val="25"/>
  </w:num>
  <w:num w:numId="20">
    <w:abstractNumId w:val="12"/>
  </w:num>
  <w:num w:numId="21">
    <w:abstractNumId w:val="8"/>
  </w:num>
  <w:num w:numId="22">
    <w:abstractNumId w:val="16"/>
  </w:num>
  <w:num w:numId="23">
    <w:abstractNumId w:val="3"/>
  </w:num>
  <w:num w:numId="24">
    <w:abstractNumId w:val="23"/>
  </w:num>
  <w:num w:numId="25">
    <w:abstractNumId w:val="22"/>
  </w:num>
  <w:num w:numId="26">
    <w:abstractNumId w:val="6"/>
  </w:num>
  <w:num w:numId="27">
    <w:abstractNumId w:val="1"/>
  </w:num>
  <w:num w:numId="28">
    <w:abstractNumId w:val="28"/>
  </w:num>
  <w:num w:numId="29">
    <w:abstractNumId w:val="24"/>
  </w:num>
  <w:num w:numId="30">
    <w:abstractNumId w:val="5"/>
  </w:num>
  <w:num w:numId="31">
    <w:abstractNumId w:val="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5B"/>
    <w:rsid w:val="00044EDD"/>
    <w:rsid w:val="00114989"/>
    <w:rsid w:val="00120C81"/>
    <w:rsid w:val="00222F91"/>
    <w:rsid w:val="002C6029"/>
    <w:rsid w:val="002D128B"/>
    <w:rsid w:val="002E12D0"/>
    <w:rsid w:val="00382652"/>
    <w:rsid w:val="003F0570"/>
    <w:rsid w:val="0044365B"/>
    <w:rsid w:val="005359F7"/>
    <w:rsid w:val="00551B3A"/>
    <w:rsid w:val="00556CFD"/>
    <w:rsid w:val="005D03F7"/>
    <w:rsid w:val="006750AD"/>
    <w:rsid w:val="006B26A6"/>
    <w:rsid w:val="00734625"/>
    <w:rsid w:val="007427DA"/>
    <w:rsid w:val="007A3C1F"/>
    <w:rsid w:val="008A6748"/>
    <w:rsid w:val="008E3834"/>
    <w:rsid w:val="00A359D9"/>
    <w:rsid w:val="00A60DBD"/>
    <w:rsid w:val="00B63722"/>
    <w:rsid w:val="00BC0740"/>
    <w:rsid w:val="00BD46CC"/>
    <w:rsid w:val="00C50856"/>
    <w:rsid w:val="00CF0F89"/>
    <w:rsid w:val="00D271D5"/>
    <w:rsid w:val="00DC4537"/>
    <w:rsid w:val="00E10DB0"/>
    <w:rsid w:val="00E3656E"/>
    <w:rsid w:val="00E95307"/>
    <w:rsid w:val="00F07813"/>
    <w:rsid w:val="00F547A7"/>
    <w:rsid w:val="00F6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B296"/>
  <w15:chartTrackingRefBased/>
  <w15:docId w15:val="{A56FA595-36E8-4D8F-8D82-22C0D4C1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65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4436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val="ru-RU" w:eastAsia="ru-RU" w:bidi="ar-SA"/>
    </w:rPr>
  </w:style>
  <w:style w:type="paragraph" w:customStyle="1" w:styleId="rvps14">
    <w:name w:val="rvps14"/>
    <w:basedOn w:val="a"/>
    <w:rsid w:val="004436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val="ru-RU" w:eastAsia="ru-RU" w:bidi="ar-SA"/>
    </w:rPr>
  </w:style>
  <w:style w:type="character" w:styleId="a3">
    <w:name w:val="Hyperlink"/>
    <w:basedOn w:val="a0"/>
    <w:uiPriority w:val="99"/>
    <w:semiHidden/>
    <w:unhideWhenUsed/>
    <w:rsid w:val="0044365B"/>
    <w:rPr>
      <w:color w:val="0000FF"/>
      <w:u w:val="single"/>
    </w:rPr>
  </w:style>
  <w:style w:type="paragraph" w:styleId="a4">
    <w:name w:val="List Paragraph"/>
    <w:basedOn w:val="a"/>
    <w:qFormat/>
    <w:rsid w:val="0044365B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eastAsia="en-US" w:bidi="ar-SA"/>
    </w:rPr>
  </w:style>
  <w:style w:type="character" w:styleId="a5">
    <w:name w:val="Strong"/>
    <w:basedOn w:val="a0"/>
    <w:uiPriority w:val="22"/>
    <w:qFormat/>
    <w:rsid w:val="0044365B"/>
    <w:rPr>
      <w:b/>
      <w:bCs/>
    </w:rPr>
  </w:style>
  <w:style w:type="character" w:styleId="a6">
    <w:name w:val="Emphasis"/>
    <w:basedOn w:val="a0"/>
    <w:uiPriority w:val="20"/>
    <w:qFormat/>
    <w:rsid w:val="0044365B"/>
    <w:rPr>
      <w:i/>
      <w:iCs/>
    </w:rPr>
  </w:style>
  <w:style w:type="table" w:styleId="a7">
    <w:name w:val="Table Grid"/>
    <w:basedOn w:val="a1"/>
    <w:uiPriority w:val="39"/>
    <w:rsid w:val="0044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436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val="ru-RU" w:eastAsia="ru-RU" w:bidi="ar-SA"/>
    </w:rPr>
  </w:style>
  <w:style w:type="paragraph" w:customStyle="1" w:styleId="Standard">
    <w:name w:val="Standard"/>
    <w:rsid w:val="0044365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st42">
    <w:name w:val="st42"/>
    <w:uiPriority w:val="99"/>
    <w:rsid w:val="0044365B"/>
    <w:rPr>
      <w:color w:val="000000"/>
    </w:rPr>
  </w:style>
  <w:style w:type="paragraph" w:customStyle="1" w:styleId="tj">
    <w:name w:val="tj"/>
    <w:basedOn w:val="a"/>
    <w:rsid w:val="004436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val="ru-RU" w:eastAsia="ru-RU" w:bidi="ar-SA"/>
    </w:rPr>
  </w:style>
  <w:style w:type="paragraph" w:styleId="a9">
    <w:name w:val="No Spacing"/>
    <w:link w:val="aa"/>
    <w:uiPriority w:val="1"/>
    <w:qFormat/>
    <w:rsid w:val="0044365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xfmc1">
    <w:name w:val="xfmc1"/>
    <w:basedOn w:val="a"/>
    <w:uiPriority w:val="99"/>
    <w:rsid w:val="004436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color w:val="auto"/>
      <w:kern w:val="0"/>
      <w:lang w:val="uk-UA" w:eastAsia="uk-UA" w:bidi="ar-SA"/>
    </w:rPr>
  </w:style>
  <w:style w:type="paragraph" w:customStyle="1" w:styleId="1">
    <w:name w:val="Обычный (веб)1"/>
    <w:basedOn w:val="a"/>
    <w:rsid w:val="0044365B"/>
    <w:pPr>
      <w:autoSpaceDN/>
      <w:spacing w:before="150"/>
      <w:jc w:val="both"/>
      <w:textAlignment w:val="auto"/>
    </w:pPr>
    <w:rPr>
      <w:rFonts w:ascii="Helvetica" w:eastAsia="Lucida Sans Unicode" w:hAnsi="Helvetica" w:cs="Helvetica"/>
      <w:color w:val="000044"/>
      <w:kern w:val="0"/>
      <w:sz w:val="20"/>
      <w:szCs w:val="20"/>
      <w:lang w:val="uk-UA" w:eastAsia="en-US" w:bidi="en-US"/>
    </w:rPr>
  </w:style>
  <w:style w:type="paragraph" w:customStyle="1" w:styleId="st2">
    <w:name w:val="st2"/>
    <w:uiPriority w:val="99"/>
    <w:rsid w:val="0044365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Plain Text"/>
    <w:basedOn w:val="a"/>
    <w:link w:val="ac"/>
    <w:uiPriority w:val="99"/>
    <w:unhideWhenUsed/>
    <w:rsid w:val="0044365B"/>
    <w:pPr>
      <w:widowControl/>
      <w:suppressAutoHyphens w:val="0"/>
      <w:autoSpaceDN/>
      <w:textAlignment w:val="auto"/>
    </w:pPr>
    <w:rPr>
      <w:rFonts w:ascii="Consolas" w:eastAsia="Calibri" w:hAnsi="Consolas" w:cs="Times New Roman"/>
      <w:color w:val="auto"/>
      <w:kern w:val="0"/>
      <w:sz w:val="21"/>
      <w:szCs w:val="21"/>
      <w:lang w:val="uk-UA" w:eastAsia="en-US" w:bidi="ar-SA"/>
    </w:rPr>
  </w:style>
  <w:style w:type="character" w:customStyle="1" w:styleId="ac">
    <w:name w:val="Текст Знак"/>
    <w:basedOn w:val="a0"/>
    <w:link w:val="ab"/>
    <w:uiPriority w:val="99"/>
    <w:rsid w:val="0044365B"/>
    <w:rPr>
      <w:rFonts w:ascii="Consolas" w:eastAsia="Calibri" w:hAnsi="Consolas" w:cs="Times New Roman"/>
      <w:sz w:val="21"/>
      <w:szCs w:val="21"/>
      <w:lang w:val="uk-UA"/>
    </w:rPr>
  </w:style>
  <w:style w:type="character" w:customStyle="1" w:styleId="aa">
    <w:name w:val="Без інтервалів Знак"/>
    <w:link w:val="a9"/>
    <w:uiPriority w:val="1"/>
    <w:locked/>
    <w:rsid w:val="0044365B"/>
    <w:rPr>
      <w:rFonts w:ascii="Calibri" w:eastAsia="Calibri" w:hAnsi="Calibri" w:cs="Times New Roman"/>
      <w:lang w:val="uk-UA"/>
    </w:rPr>
  </w:style>
  <w:style w:type="character" w:customStyle="1" w:styleId="ListParagraphChar">
    <w:name w:val="List Paragraph Char"/>
    <w:link w:val="10"/>
    <w:locked/>
    <w:rsid w:val="00A60DBD"/>
    <w:rPr>
      <w:rFonts w:ascii="Calibri" w:hAnsi="Calibri" w:cs="Calibri"/>
    </w:rPr>
  </w:style>
  <w:style w:type="paragraph" w:customStyle="1" w:styleId="10">
    <w:name w:val="Абзац списку1"/>
    <w:basedOn w:val="a"/>
    <w:link w:val="ListParagraphChar"/>
    <w:rsid w:val="00A60DBD"/>
    <w:pPr>
      <w:widowControl/>
      <w:suppressAutoHyphens w:val="0"/>
      <w:autoSpaceDN/>
      <w:spacing w:after="160" w:line="256" w:lineRule="auto"/>
      <w:ind w:left="720"/>
      <w:textAlignment w:val="auto"/>
    </w:pPr>
    <w:rPr>
      <w:rFonts w:ascii="Calibri" w:eastAsiaTheme="minorHAnsi" w:hAnsi="Calibri" w:cs="Calibri"/>
      <w:color w:val="auto"/>
      <w:kern w:val="0"/>
      <w:sz w:val="22"/>
      <w:szCs w:val="22"/>
      <w:lang w:val="ru-RU" w:eastAsia="en-US" w:bidi="ar-SA"/>
    </w:rPr>
  </w:style>
  <w:style w:type="character" w:customStyle="1" w:styleId="fontstyle01">
    <w:name w:val="fontstyle01"/>
    <w:uiPriority w:val="99"/>
    <w:rsid w:val="00A60DBD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1957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NDEKC 2022</cp:lastModifiedBy>
  <cp:revision>33</cp:revision>
  <dcterms:created xsi:type="dcterms:W3CDTF">2022-11-10T12:01:00Z</dcterms:created>
  <dcterms:modified xsi:type="dcterms:W3CDTF">2022-12-26T15:05:00Z</dcterms:modified>
</cp:coreProperties>
</file>